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8B1F" w14:textId="05C2E778" w:rsidR="00893E1D" w:rsidRDefault="00893E1D" w:rsidP="001D52F9">
      <w:pPr>
        <w:spacing w:line="480" w:lineRule="auto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  <w:b/>
          <w:noProof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593001B9" wp14:editId="04E42FF0">
            <wp:simplePos x="0" y="0"/>
            <wp:positionH relativeFrom="margin">
              <wp:posOffset>2134283</wp:posOffset>
            </wp:positionH>
            <wp:positionV relativeFrom="margin">
              <wp:posOffset>-225473</wp:posOffset>
            </wp:positionV>
            <wp:extent cx="1866900" cy="1009650"/>
            <wp:effectExtent l="0" t="0" r="0" b="0"/>
            <wp:wrapSquare wrapText="bothSides"/>
            <wp:docPr id="393" name="Google Shape;393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Google Shape;393;p35"/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7" t="24464" r="27667" b="31141"/>
                    <a:stretch/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3F4A9" w14:textId="77777777" w:rsidR="001D52F9" w:rsidRPr="001D52F9" w:rsidRDefault="001D52F9" w:rsidP="001D52F9">
      <w:pPr>
        <w:spacing w:line="480" w:lineRule="auto"/>
        <w:rPr>
          <w:rFonts w:ascii="Times New Roman" w:hAnsi="Times New Roman" w:cs="Times New Roman"/>
        </w:rPr>
      </w:pPr>
    </w:p>
    <w:p w14:paraId="09B68DFA" w14:textId="77777777" w:rsidR="00455578" w:rsidRDefault="00455578" w:rsidP="001D52F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660F226B" w14:textId="086444F8" w:rsidR="00012C6B" w:rsidRPr="001D52F9" w:rsidRDefault="00E6555F" w:rsidP="001D52F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262C9A">
        <w:rPr>
          <w:rFonts w:ascii="Times New Roman" w:hAnsi="Times New Roman" w:cs="Times New Roman"/>
          <w:b/>
          <w:sz w:val="28"/>
        </w:rPr>
        <w:t xml:space="preserve">mgr </w:t>
      </w:r>
      <w:r w:rsidR="00A87A9D">
        <w:rPr>
          <w:rFonts w:ascii="Times New Roman" w:hAnsi="Times New Roman" w:cs="Times New Roman"/>
          <w:b/>
          <w:sz w:val="28"/>
        </w:rPr>
        <w:t>Monika Magdalena Baryła</w:t>
      </w:r>
    </w:p>
    <w:p w14:paraId="6DA84BC5" w14:textId="77777777" w:rsidR="00E6555F" w:rsidRPr="00262C9A" w:rsidRDefault="00E6555F" w:rsidP="001D52F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262C9A">
        <w:rPr>
          <w:rFonts w:ascii="Times New Roman" w:hAnsi="Times New Roman" w:cs="Times New Roman"/>
          <w:sz w:val="24"/>
        </w:rPr>
        <w:t>Rozprawa doktorska</w:t>
      </w:r>
    </w:p>
    <w:p w14:paraId="12D473DC" w14:textId="00A73D24" w:rsidR="00012C6B" w:rsidRPr="00262C9A" w:rsidRDefault="00E6555F" w:rsidP="00455578">
      <w:pPr>
        <w:spacing w:after="240" w:line="360" w:lineRule="auto"/>
        <w:jc w:val="center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262C9A">
        <w:rPr>
          <w:rStyle w:val="Uwydatnienie"/>
          <w:rFonts w:ascii="Times New Roman" w:hAnsi="Times New Roman" w:cs="Times New Roman"/>
          <w:b/>
          <w:sz w:val="28"/>
          <w:szCs w:val="24"/>
        </w:rPr>
        <w:t>„</w:t>
      </w:r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Znaczenie </w:t>
      </w:r>
      <w:proofErr w:type="spellStart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>prokinetycyny</w:t>
      </w:r>
      <w:proofErr w:type="spellEnd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 w procesach związanych</w:t>
      </w:r>
      <w:r w:rsidR="00A25F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 funkcją ciałka żółtego podczas wczesnej ciąży i cyklu </w:t>
      </w:r>
      <w:proofErr w:type="spellStart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>rujowego</w:t>
      </w:r>
      <w:proofErr w:type="spellEnd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 świni domowej (Sus </w:t>
      </w:r>
      <w:proofErr w:type="spellStart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>scrofa</w:t>
      </w:r>
      <w:proofErr w:type="spellEnd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>domestica</w:t>
      </w:r>
      <w:proofErr w:type="spellEnd"/>
      <w:r w:rsidR="00A87A9D" w:rsidRPr="00A87A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L.)</w:t>
      </w:r>
      <w:r w:rsidRPr="00262C9A">
        <w:rPr>
          <w:rStyle w:val="Uwydatnienie"/>
          <w:rFonts w:ascii="Times New Roman" w:hAnsi="Times New Roman" w:cs="Times New Roman"/>
          <w:b/>
          <w:sz w:val="24"/>
        </w:rPr>
        <w:t>”</w:t>
      </w:r>
    </w:p>
    <w:p w14:paraId="7B6D7C36" w14:textId="77777777" w:rsidR="00893E1D" w:rsidRPr="00455578" w:rsidRDefault="00893E1D" w:rsidP="00455578">
      <w:pPr>
        <w:tabs>
          <w:tab w:val="center" w:pos="4536"/>
          <w:tab w:val="left" w:pos="6710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455578">
        <w:rPr>
          <w:rFonts w:ascii="Times New Roman" w:hAnsi="Times New Roman" w:cs="Times New Roman"/>
          <w:b/>
          <w:sz w:val="28"/>
        </w:rPr>
        <w:t>PROMOTOR</w:t>
      </w:r>
    </w:p>
    <w:p w14:paraId="324313C9" w14:textId="5E602178" w:rsidR="00E6555F" w:rsidRPr="00455578" w:rsidRDefault="00E6555F" w:rsidP="00A25F4B">
      <w:pPr>
        <w:spacing w:after="120" w:line="480" w:lineRule="auto"/>
        <w:jc w:val="center"/>
        <w:rPr>
          <w:rStyle w:val="Pogrubienie"/>
          <w:rFonts w:ascii="Times New Roman" w:hAnsi="Times New Roman" w:cs="Times New Roman"/>
          <w:i/>
          <w:sz w:val="24"/>
        </w:rPr>
      </w:pPr>
      <w:r w:rsidRPr="00455578">
        <w:rPr>
          <w:rStyle w:val="Pogrubienie"/>
          <w:rFonts w:ascii="Times New Roman" w:hAnsi="Times New Roman" w:cs="Times New Roman"/>
          <w:i/>
          <w:sz w:val="24"/>
        </w:rPr>
        <w:t xml:space="preserve">Prof. dr hab. </w:t>
      </w:r>
      <w:r w:rsidR="00A87A9D" w:rsidRPr="00455578">
        <w:rPr>
          <w:rStyle w:val="Pogrubienie"/>
          <w:rFonts w:ascii="Times New Roman" w:hAnsi="Times New Roman" w:cs="Times New Roman"/>
          <w:i/>
          <w:sz w:val="24"/>
        </w:rPr>
        <w:t>Agnieszka Wacławik</w:t>
      </w:r>
    </w:p>
    <w:p w14:paraId="235B0C11" w14:textId="3541CC9A" w:rsidR="00A25F4B" w:rsidRPr="00A25F4B" w:rsidRDefault="00A25F4B" w:rsidP="0045557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iCs/>
          <w:sz w:val="24"/>
        </w:rPr>
      </w:pPr>
      <w:r w:rsidRPr="00A25F4B">
        <w:rPr>
          <w:rStyle w:val="Pogrubienie"/>
          <w:rFonts w:ascii="Times New Roman" w:hAnsi="Times New Roman" w:cs="Times New Roman"/>
          <w:iCs/>
          <w:sz w:val="24"/>
        </w:rPr>
        <w:t>PROMOTOR POMOCNICZY</w:t>
      </w:r>
    </w:p>
    <w:p w14:paraId="3DEA6E46" w14:textId="114BC897" w:rsidR="00A87A9D" w:rsidRPr="00A87A9D" w:rsidRDefault="00A87A9D" w:rsidP="001D52F9">
      <w:pPr>
        <w:spacing w:after="0" w:line="480" w:lineRule="auto"/>
        <w:jc w:val="center"/>
        <w:rPr>
          <w:rStyle w:val="Pogrubienie"/>
          <w:rFonts w:ascii="Times New Roman" w:hAnsi="Times New Roman" w:cs="Times New Roman"/>
          <w:bCs w:val="0"/>
          <w:i/>
          <w:sz w:val="28"/>
        </w:rPr>
      </w:pPr>
      <w:r w:rsidRPr="00A87A9D">
        <w:rPr>
          <w:rStyle w:val="Pogrubienie"/>
          <w:rFonts w:ascii="Times New Roman" w:hAnsi="Times New Roman" w:cs="Times New Roman"/>
          <w:i/>
          <w:sz w:val="24"/>
        </w:rPr>
        <w:t>Dr Piotr Kaczyński</w:t>
      </w:r>
    </w:p>
    <w:p w14:paraId="525ADCB6" w14:textId="77777777" w:rsidR="00E6555F" w:rsidRPr="00262C9A" w:rsidRDefault="00E6555F" w:rsidP="00455578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0"/>
        </w:rPr>
      </w:pPr>
      <w:r w:rsidRPr="00262C9A">
        <w:rPr>
          <w:rStyle w:val="Pogrubienie"/>
          <w:rFonts w:ascii="Times New Roman" w:hAnsi="Times New Roman" w:cs="Times New Roman"/>
          <w:b w:val="0"/>
          <w:sz w:val="20"/>
        </w:rPr>
        <w:t>Instytut Rozrodu Zwierząt i Badań Żywności</w:t>
      </w:r>
    </w:p>
    <w:p w14:paraId="3CE5CB8B" w14:textId="3852F255" w:rsidR="002A1682" w:rsidRPr="002A1682" w:rsidRDefault="00E6555F" w:rsidP="00A25F4B">
      <w:pPr>
        <w:spacing w:after="240" w:line="480" w:lineRule="auto"/>
        <w:jc w:val="center"/>
        <w:rPr>
          <w:rStyle w:val="Pogrubienie"/>
          <w:rFonts w:ascii="Times New Roman" w:hAnsi="Times New Roman" w:cs="Times New Roman"/>
          <w:b w:val="0"/>
          <w:sz w:val="20"/>
        </w:rPr>
      </w:pPr>
      <w:r w:rsidRPr="00262C9A">
        <w:rPr>
          <w:rStyle w:val="Pogrubienie"/>
          <w:rFonts w:ascii="Times New Roman" w:hAnsi="Times New Roman" w:cs="Times New Roman"/>
          <w:b w:val="0"/>
          <w:sz w:val="20"/>
        </w:rPr>
        <w:t>Polskiej Akademii Nauk w Olsztynie</w:t>
      </w:r>
    </w:p>
    <w:p w14:paraId="746B3E14" w14:textId="77777777" w:rsidR="00012C6B" w:rsidRPr="00262C9A" w:rsidRDefault="00E6555F" w:rsidP="00455578">
      <w:pPr>
        <w:spacing w:after="120" w:line="480" w:lineRule="auto"/>
        <w:jc w:val="center"/>
        <w:rPr>
          <w:rStyle w:val="Pogrubienie"/>
          <w:rFonts w:ascii="Times New Roman" w:hAnsi="Times New Roman" w:cs="Times New Roman"/>
          <w:sz w:val="28"/>
        </w:rPr>
      </w:pPr>
      <w:r w:rsidRPr="00262C9A">
        <w:rPr>
          <w:rStyle w:val="Pogrubienie"/>
          <w:rFonts w:ascii="Times New Roman" w:hAnsi="Times New Roman" w:cs="Times New Roman"/>
          <w:sz w:val="28"/>
        </w:rPr>
        <w:t>RECENZENCI</w:t>
      </w:r>
    </w:p>
    <w:p w14:paraId="5139804C" w14:textId="44F2466F" w:rsidR="00E6555F" w:rsidRPr="00262C9A" w:rsidRDefault="00E6555F" w:rsidP="002A1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62C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Prof. dr hab. </w:t>
      </w:r>
      <w:r w:rsidR="00A87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Dorota A. Zięba-Przybylska</w:t>
      </w:r>
    </w:p>
    <w:p w14:paraId="45834762" w14:textId="61277E2B" w:rsidR="002A1682" w:rsidRPr="00262C9A" w:rsidRDefault="00E6555F" w:rsidP="00A25F4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Rolniczy </w:t>
      </w:r>
      <w:r w:rsidR="00153F83" w:rsidRPr="00262C9A">
        <w:rPr>
          <w:rFonts w:ascii="Times New Roman" w:eastAsia="Times New Roman" w:hAnsi="Times New Roman" w:cs="Times New Roman"/>
          <w:sz w:val="24"/>
          <w:szCs w:val="24"/>
          <w:lang w:eastAsia="pl-PL"/>
        </w:rPr>
        <w:t>im. Hugona Kołłątaja w Krakowie</w:t>
      </w:r>
    </w:p>
    <w:p w14:paraId="6829C909" w14:textId="5931049A" w:rsidR="00262C9A" w:rsidRPr="00A87A9D" w:rsidRDefault="00262C9A" w:rsidP="002A1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A87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Prof. dr hab. </w:t>
      </w:r>
      <w:r w:rsidR="00A87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Nina Smolińska</w:t>
      </w:r>
    </w:p>
    <w:p w14:paraId="58564741" w14:textId="5ED18D1D" w:rsidR="002A1682" w:rsidRPr="00262C9A" w:rsidRDefault="00262C9A" w:rsidP="00A25F4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C9A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Warmińsko-Mazurski w Olsztynie</w:t>
      </w:r>
    </w:p>
    <w:p w14:paraId="7D3C219C" w14:textId="182CF6CD" w:rsidR="00893E1D" w:rsidRPr="00262C9A" w:rsidRDefault="00262C9A" w:rsidP="002A1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62C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Dr hab. </w:t>
      </w:r>
      <w:r w:rsidR="00A87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Piotr Pawlak</w:t>
      </w:r>
    </w:p>
    <w:p w14:paraId="77CF7617" w14:textId="5B5CCFAE" w:rsidR="00262C9A" w:rsidRPr="00262C9A" w:rsidRDefault="00E6555F" w:rsidP="00455578">
      <w:pPr>
        <w:spacing w:after="10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</w:t>
      </w:r>
      <w:r w:rsidR="00262C9A" w:rsidRPr="0026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Przyrodniczy w </w:t>
      </w:r>
      <w:r w:rsidR="00A87A9D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Poznaniu</w:t>
      </w:r>
    </w:p>
    <w:p w14:paraId="326F4C32" w14:textId="4A41E392" w:rsidR="00893E1D" w:rsidRPr="00262C9A" w:rsidRDefault="00893E1D" w:rsidP="0045557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</w:rPr>
        <w:t>Rozprawa doktorska wykonana w Z</w:t>
      </w:r>
      <w:r w:rsidR="00A87A9D">
        <w:rPr>
          <w:rFonts w:ascii="Times New Roman" w:hAnsi="Times New Roman" w:cs="Times New Roman"/>
        </w:rPr>
        <w:t>espole</w:t>
      </w:r>
      <w:r w:rsidRPr="00262C9A">
        <w:rPr>
          <w:rFonts w:ascii="Times New Roman" w:hAnsi="Times New Roman" w:cs="Times New Roman"/>
        </w:rPr>
        <w:t xml:space="preserve"> </w:t>
      </w:r>
      <w:r w:rsidR="00A87A9D">
        <w:rPr>
          <w:rFonts w:ascii="Times New Roman" w:hAnsi="Times New Roman" w:cs="Times New Roman"/>
        </w:rPr>
        <w:t>Mechanizmów Działania Hormonów</w:t>
      </w:r>
    </w:p>
    <w:p w14:paraId="19395D01" w14:textId="21061063" w:rsidR="00262C9A" w:rsidRDefault="00893E1D" w:rsidP="0045557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</w:rPr>
        <w:t>Instytutu Rozrodu Zwierząt i Badań Żywności Polskiej Akademii Nauk w Olsztynie</w:t>
      </w:r>
    </w:p>
    <w:p w14:paraId="56BE774D" w14:textId="4A579AA3" w:rsidR="002A1682" w:rsidRPr="00262C9A" w:rsidRDefault="002A1682" w:rsidP="002A168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projektu </w:t>
      </w:r>
      <w:r w:rsidR="00A87A9D">
        <w:rPr>
          <w:rFonts w:ascii="Times New Roman" w:hAnsi="Times New Roman" w:cs="Times New Roman"/>
        </w:rPr>
        <w:t>PRELUDIUM-18</w:t>
      </w:r>
      <w:r>
        <w:rPr>
          <w:rFonts w:ascii="Times New Roman" w:hAnsi="Times New Roman" w:cs="Times New Roman"/>
        </w:rPr>
        <w:t xml:space="preserve"> </w:t>
      </w:r>
      <w:r w:rsidR="00A87A9D" w:rsidRPr="00A87A9D">
        <w:rPr>
          <w:rFonts w:ascii="Times New Roman" w:hAnsi="Times New Roman" w:cs="Times New Roman"/>
        </w:rPr>
        <w:t xml:space="preserve"> (2019/35/N/NZ9/03986)</w:t>
      </w:r>
    </w:p>
    <w:p w14:paraId="6DE8C894" w14:textId="77777777" w:rsidR="00153F83" w:rsidRPr="00262C9A" w:rsidRDefault="00153F83" w:rsidP="001D52F9">
      <w:pPr>
        <w:spacing w:line="480" w:lineRule="auto"/>
        <w:jc w:val="center"/>
        <w:rPr>
          <w:rFonts w:ascii="Times New Roman" w:hAnsi="Times New Roman" w:cs="Times New Roman"/>
          <w:sz w:val="2"/>
        </w:rPr>
      </w:pPr>
      <w:r w:rsidRPr="00262C9A">
        <w:rPr>
          <w:rFonts w:ascii="Times New Roman" w:hAnsi="Times New Roman" w:cs="Times New Roman"/>
          <w:noProof/>
          <w:sz w:val="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2B5F" wp14:editId="12A2BCFF">
                <wp:simplePos x="0" y="0"/>
                <wp:positionH relativeFrom="column">
                  <wp:posOffset>-17145</wp:posOffset>
                </wp:positionH>
                <wp:positionV relativeFrom="paragraph">
                  <wp:posOffset>64770</wp:posOffset>
                </wp:positionV>
                <wp:extent cx="5759450" cy="0"/>
                <wp:effectExtent l="0" t="0" r="317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262C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1pt" to="452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wZ1gEAAAEEAAAOAAAAZHJzL2Uyb0RvYy54bWysU02P0zAQvSPxHyzfadJdykfUdA+7Wi4I&#10;KhZ+gNcZNxb+ksc0KTcO/DP4X4ydNl0BEgJxcTv2vDfz3kzWV6M1bA8RtXctXy5qzsBJ32m3a/mH&#10;97dPXnCGSbhOGO+g5QdAfrV5/Gg9hAYufO9NB5ERicNmCC3vUwpNVaHswQpc+ACOHpWPViQK467q&#10;ohiI3Zrqoq6fVYOPXYheAiLd3kyPfFP4lQKZ3iqFkJhpOfWWyhnLeZ/ParMWzS6K0Gt5bEP8QxdW&#10;aEdFZ6obkQT7FPUvVFbL6NGrtJDeVl4pLaFoIDXL+ic1d70IULSQORhmm/D/0co3+21kumv5JWdO&#10;WBrR9y/fvsrPTn9k5CumA7vMLg0BG0q+dtt4jDBsY5Y8qmjzL4lhY3H2MDsLY2KSLlfPVy+frmgA&#10;8vRWnYEhYnoF3lI9pAEZ7bJo0Yj9a0xUjFJPKfnauHyiN7q71caUIK8LXJvI9oIGncZlbplwD7Io&#10;ysgqC5laL//SwcDE+g4UGUHNLkv1soJnTiEluHTiNY6yM0xRBzOw/jPwmJ+hUNbzb8AzolT2Ls1g&#10;q52Pv6t+tkJN+ScHJt3ZgnvfHcpQizW0Z8W54zeRF/lhXODnL3fzAwAA//8DAFBLAwQUAAYACAAA&#10;ACEACFBVXd4AAAAIAQAADwAAAGRycy9kb3ducmV2LnhtbEyPwU7DMBBE70j8g7VIXFDrkEJpQ5wK&#10;ReqFAxINqji68TaOiNdR7Dbp37OIAxx3ZjT7Jt9MrhNnHELrScH9PAGBVHvTUqPgo9rOViBC1GR0&#10;5wkVXDDApri+ynVm/EjveN7FRnAJhUwrsDH2mZShtuh0mPseib2jH5yOfA6NNIMeudx1Mk2SpXS6&#10;Jf5gdY+lxfprd3IKPpu7xXZfUTWW8e24tNNl//pYKnV7M708g4g4xb8w/OAzOhTMdPAnMkF0Cmbp&#10;EydZT1IQ7K+ThwWIw68gi1z+H1B8AwAA//8DAFBLAQItABQABgAIAAAAIQC2gziS/gAAAOEBAAAT&#10;AAAAAAAAAAAAAAAAAAAAAABbQ29udGVudF9UeXBlc10ueG1sUEsBAi0AFAAGAAgAAAAhADj9If/W&#10;AAAAlAEAAAsAAAAAAAAAAAAAAAAALwEAAF9yZWxzLy5yZWxzUEsBAi0AFAAGAAgAAAAhALdErBnW&#10;AQAAAQQAAA4AAAAAAAAAAAAAAAAALgIAAGRycy9lMm9Eb2MueG1sUEsBAi0AFAAGAAgAAAAhAAhQ&#10;VV3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32546449" w14:textId="2087F8CF" w:rsidR="00262C9A" w:rsidRPr="00262C9A" w:rsidRDefault="00153F83" w:rsidP="001D52F9">
      <w:pPr>
        <w:spacing w:line="480" w:lineRule="auto"/>
        <w:jc w:val="center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</w:rPr>
        <w:t>Olsztyn, 2025</w:t>
      </w:r>
    </w:p>
    <w:p w14:paraId="12640C19" w14:textId="77777777" w:rsidR="00455578" w:rsidRDefault="00455578" w:rsidP="001D52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0BB043E7" w14:textId="1A538D65" w:rsidR="00302CF0" w:rsidRPr="00262C9A" w:rsidRDefault="00302CF0" w:rsidP="001D52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62C9A">
        <w:rPr>
          <w:rFonts w:ascii="Times New Roman" w:hAnsi="Times New Roman" w:cs="Times New Roman"/>
          <w:b/>
          <w:sz w:val="24"/>
        </w:rPr>
        <w:t>Streszczenie</w:t>
      </w:r>
    </w:p>
    <w:p w14:paraId="44EBF436" w14:textId="77777777" w:rsidR="00660C4E" w:rsidRDefault="00660C4E" w:rsidP="00660C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0C4E">
        <w:rPr>
          <w:rFonts w:ascii="Times New Roman" w:hAnsi="Times New Roman" w:cs="Times New Roman"/>
          <w:sz w:val="24"/>
        </w:rPr>
        <w:t xml:space="preserve">Ciałko żółte (CL) jest tymczasowym gruczołem </w:t>
      </w:r>
      <w:proofErr w:type="spellStart"/>
      <w:r w:rsidRPr="00660C4E">
        <w:rPr>
          <w:rFonts w:ascii="Times New Roman" w:hAnsi="Times New Roman" w:cs="Times New Roman"/>
          <w:sz w:val="24"/>
        </w:rPr>
        <w:t>endokrynnym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powstającym po owulacji w miejscu pęcherzyka jajnikowego. Syntetyzuje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i wydziela progesteron, który jest niezbędny dla prawidłowego przebiegu wczesnej ciąży, tj. dla implantacji zarodka w macicy oraz rozwoju łożyska. Zaburzenia w funkcjonowaniu CL, zarówno podczas cyklu </w:t>
      </w:r>
      <w:proofErr w:type="spellStart"/>
      <w:r w:rsidRPr="00660C4E">
        <w:rPr>
          <w:rFonts w:ascii="Times New Roman" w:hAnsi="Times New Roman" w:cs="Times New Roman"/>
          <w:sz w:val="24"/>
        </w:rPr>
        <w:t>rujowego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/płciowego, jak i podczas ciąży, niosą ze sobą duże ryzyko obniżonej płodności oraz są jedną z przyczyn wysokiej śmiertelności zarodków podczas wczesnej ciąży u wielu gatunków ssaków, w tym również u świni. Ciałko żółte u świni, podobnie jak u krowy i kobiety, w przeciągu kilkunastu dni przechodzi etapy formowania się (wczesna faza </w:t>
      </w:r>
      <w:proofErr w:type="spellStart"/>
      <w:r w:rsidRPr="00660C4E">
        <w:rPr>
          <w:rFonts w:ascii="Times New Roman" w:hAnsi="Times New Roman" w:cs="Times New Roman"/>
          <w:sz w:val="24"/>
        </w:rPr>
        <w:t>lutealna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), pełnej funkcjonalności (faza </w:t>
      </w:r>
      <w:proofErr w:type="spellStart"/>
      <w:r w:rsidRPr="00660C4E">
        <w:rPr>
          <w:rFonts w:ascii="Times New Roman" w:hAnsi="Times New Roman" w:cs="Times New Roman"/>
          <w:sz w:val="24"/>
        </w:rPr>
        <w:t>lutealna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) oraz regresji (późna faza </w:t>
      </w:r>
      <w:proofErr w:type="spellStart"/>
      <w:r w:rsidRPr="00660C4E">
        <w:rPr>
          <w:rFonts w:ascii="Times New Roman" w:hAnsi="Times New Roman" w:cs="Times New Roman"/>
          <w:sz w:val="24"/>
        </w:rPr>
        <w:t>lutealna</w:t>
      </w:r>
      <w:proofErr w:type="spellEnd"/>
      <w:r w:rsidRPr="00660C4E">
        <w:rPr>
          <w:rFonts w:ascii="Times New Roman" w:hAnsi="Times New Roman" w:cs="Times New Roman"/>
          <w:sz w:val="24"/>
        </w:rPr>
        <w:t>), co czyni go wyjątkowo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energochłonną jednostką i wymaga od organizmu uruchomienia mechanizmów pozwalających zachować jego stabilność podczas ciąży. Mechanizmy te regulowane są m. in. przez hormony, czynniki wzrostu i cytokiny. Jednak procesy zaangażowane w podtrzymanie działalności ciałka żółtego i ich hierarchia nie zostały dotąd w pełni poznane. Wśród cząsteczek potencjalnie zaangażowanych w regulację czynności CL znajduje się peptyd – </w:t>
      </w:r>
      <w:proofErr w:type="spellStart"/>
      <w:r w:rsidRPr="00660C4E">
        <w:rPr>
          <w:rFonts w:ascii="Times New Roman" w:hAnsi="Times New Roman" w:cs="Times New Roman"/>
          <w:sz w:val="24"/>
        </w:rPr>
        <w:t>prokinetycyna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1 (PROK1), którego obecność stwierdzono w tkance ciałka żółtego u kobiety oraz krowy. Dotychczas PROK1 nie była badana w ciałku żółtym świni, brakowało też danych dotyczących roli tego czynnika podczas ciąży w tym gruczole u innych gatunków zwierząt. W związku z tym, celem badań było określenie roli PROK1 w regulacji funkcji CL świni domowej podczas cyklu </w:t>
      </w:r>
      <w:proofErr w:type="spellStart"/>
      <w:r w:rsidRPr="00660C4E">
        <w:rPr>
          <w:rFonts w:ascii="Times New Roman" w:hAnsi="Times New Roman" w:cs="Times New Roman"/>
          <w:sz w:val="24"/>
        </w:rPr>
        <w:t>rujowego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oraz wczesnej ciąży.</w:t>
      </w:r>
    </w:p>
    <w:p w14:paraId="573EF6D6" w14:textId="2B049143" w:rsidR="00660C4E" w:rsidRPr="00660C4E" w:rsidRDefault="00660C4E" w:rsidP="00660C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0C4E">
        <w:rPr>
          <w:rFonts w:ascii="Times New Roman" w:hAnsi="Times New Roman" w:cs="Times New Roman"/>
          <w:sz w:val="24"/>
        </w:rPr>
        <w:t xml:space="preserve">W ramach niniejszej pracy określono profil ekspresji genu i białka PROK1 oraz jej receptorów w CL podczas wczesnej ciąży i cyklu </w:t>
      </w:r>
      <w:proofErr w:type="spellStart"/>
      <w:r w:rsidRPr="00660C4E">
        <w:rPr>
          <w:rFonts w:ascii="Times New Roman" w:hAnsi="Times New Roman" w:cs="Times New Roman"/>
          <w:sz w:val="24"/>
        </w:rPr>
        <w:t>rujowego</w:t>
      </w:r>
      <w:proofErr w:type="spellEnd"/>
      <w:r w:rsidRPr="00660C4E">
        <w:rPr>
          <w:rFonts w:ascii="Times New Roman" w:hAnsi="Times New Roman" w:cs="Times New Roman"/>
          <w:sz w:val="24"/>
        </w:rPr>
        <w:t>. Wykazano, że poziom ekspresji genu i białka PROK1 oraz genu jej receptora 1 (</w:t>
      </w:r>
      <w:r w:rsidRPr="003D670F">
        <w:rPr>
          <w:rFonts w:ascii="Times New Roman" w:hAnsi="Times New Roman" w:cs="Times New Roman"/>
          <w:i/>
          <w:iCs/>
          <w:sz w:val="24"/>
        </w:rPr>
        <w:t>PROKR1</w:t>
      </w:r>
      <w:r w:rsidRPr="00660C4E">
        <w:rPr>
          <w:rFonts w:ascii="Times New Roman" w:hAnsi="Times New Roman" w:cs="Times New Roman"/>
          <w:sz w:val="24"/>
        </w:rPr>
        <w:t>) wzrastał w ciałku żółtym w okresie, w którym dochodzi do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zahamowania regresji CL i podtrzymania jego funkcji podczas wczesnej ciąży. Ekspresja genu receptora 2 </w:t>
      </w:r>
      <w:proofErr w:type="spellStart"/>
      <w:r w:rsidRPr="00660C4E">
        <w:rPr>
          <w:rFonts w:ascii="Times New Roman" w:hAnsi="Times New Roman" w:cs="Times New Roman"/>
          <w:sz w:val="24"/>
        </w:rPr>
        <w:t>prokinetycyny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(</w:t>
      </w:r>
      <w:r w:rsidRPr="003D670F">
        <w:rPr>
          <w:rFonts w:ascii="Times New Roman" w:hAnsi="Times New Roman" w:cs="Times New Roman"/>
          <w:i/>
          <w:iCs/>
          <w:sz w:val="24"/>
        </w:rPr>
        <w:t>PROKR2</w:t>
      </w:r>
      <w:r w:rsidRPr="00660C4E">
        <w:rPr>
          <w:rFonts w:ascii="Times New Roman" w:hAnsi="Times New Roman" w:cs="Times New Roman"/>
          <w:sz w:val="24"/>
        </w:rPr>
        <w:t>) zwiększała się w późnej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fazie </w:t>
      </w:r>
      <w:proofErr w:type="spellStart"/>
      <w:r w:rsidRPr="00660C4E">
        <w:rPr>
          <w:rFonts w:ascii="Times New Roman" w:hAnsi="Times New Roman" w:cs="Times New Roman"/>
          <w:sz w:val="24"/>
        </w:rPr>
        <w:t>lutealnej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. Analiza immunohistochemiczna wykazała obecność białek PROK1 i jej receptorów w komórkach </w:t>
      </w:r>
      <w:proofErr w:type="spellStart"/>
      <w:r w:rsidRPr="00660C4E">
        <w:rPr>
          <w:rFonts w:ascii="Times New Roman" w:hAnsi="Times New Roman" w:cs="Times New Roman"/>
          <w:sz w:val="24"/>
        </w:rPr>
        <w:t>steroidogennych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oraz w komórkach śródbłonka naczyń krwionośnych (</w:t>
      </w:r>
      <w:proofErr w:type="spellStart"/>
      <w:r w:rsidRPr="00660C4E">
        <w:rPr>
          <w:rFonts w:ascii="Times New Roman" w:hAnsi="Times New Roman" w:cs="Times New Roman"/>
          <w:sz w:val="24"/>
        </w:rPr>
        <w:t>endotelialnych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). W kolejnym </w:t>
      </w:r>
      <w:r w:rsidRPr="00660C4E">
        <w:rPr>
          <w:rFonts w:ascii="Times New Roman" w:hAnsi="Times New Roman" w:cs="Times New Roman"/>
          <w:sz w:val="24"/>
        </w:rPr>
        <w:lastRenderedPageBreak/>
        <w:t xml:space="preserve">etapie badań sprawdzono czy ekspresja genów i białek PROK1 i jej receptorów może być regulowana przez czynniki pochodzenia zarodkowego. U świni głównym sygnałem zarodkowym jest estradiol-17β (E2). W badaniach przeprowadzonych </w:t>
      </w:r>
    </w:p>
    <w:p w14:paraId="3F117709" w14:textId="2AA91CDD" w:rsidR="00660C4E" w:rsidRDefault="00660C4E" w:rsidP="00660C4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60C4E">
        <w:rPr>
          <w:rFonts w:ascii="Times New Roman" w:hAnsi="Times New Roman" w:cs="Times New Roman"/>
          <w:sz w:val="24"/>
        </w:rPr>
        <w:t xml:space="preserve">w ramach prezentowanej pracy doktorskiej wykorzystano model </w:t>
      </w:r>
      <w:r w:rsidRPr="003D670F">
        <w:rPr>
          <w:rFonts w:ascii="Times New Roman" w:hAnsi="Times New Roman" w:cs="Times New Roman"/>
          <w:i/>
          <w:iCs/>
          <w:sz w:val="24"/>
        </w:rPr>
        <w:t>in vitro</w:t>
      </w:r>
      <w:r w:rsidRPr="00660C4E">
        <w:rPr>
          <w:rFonts w:ascii="Times New Roman" w:hAnsi="Times New Roman" w:cs="Times New Roman"/>
          <w:sz w:val="24"/>
        </w:rPr>
        <w:t xml:space="preserve">, w którym hodowano tkanki CL oraz model </w:t>
      </w:r>
      <w:r w:rsidRPr="003D670F">
        <w:rPr>
          <w:rFonts w:ascii="Times New Roman" w:hAnsi="Times New Roman" w:cs="Times New Roman"/>
          <w:i/>
          <w:iCs/>
          <w:sz w:val="24"/>
        </w:rPr>
        <w:t>in vivo</w:t>
      </w:r>
      <w:r w:rsidRPr="00660C4E">
        <w:rPr>
          <w:rFonts w:ascii="Times New Roman" w:hAnsi="Times New Roman" w:cs="Times New Roman"/>
          <w:sz w:val="24"/>
        </w:rPr>
        <w:t>, w którym naśladowano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>wydzielanie sygnałów przez zarodki.</w:t>
      </w:r>
      <w:r>
        <w:rPr>
          <w:rFonts w:ascii="Times New Roman" w:hAnsi="Times New Roman" w:cs="Times New Roman"/>
          <w:sz w:val="24"/>
        </w:rPr>
        <w:br/>
      </w:r>
      <w:r w:rsidRPr="00660C4E">
        <w:rPr>
          <w:rFonts w:ascii="Times New Roman" w:hAnsi="Times New Roman" w:cs="Times New Roman"/>
          <w:sz w:val="24"/>
        </w:rPr>
        <w:t xml:space="preserve">W warunkach </w:t>
      </w:r>
      <w:r w:rsidRPr="00660C4E">
        <w:rPr>
          <w:rFonts w:ascii="Times New Roman" w:hAnsi="Times New Roman" w:cs="Times New Roman"/>
          <w:i/>
          <w:iCs/>
          <w:sz w:val="24"/>
        </w:rPr>
        <w:t>in vitro</w:t>
      </w:r>
      <w:r w:rsidRPr="00660C4E">
        <w:rPr>
          <w:rFonts w:ascii="Times New Roman" w:hAnsi="Times New Roman" w:cs="Times New Roman"/>
          <w:sz w:val="24"/>
        </w:rPr>
        <w:t xml:space="preserve"> oraz </w:t>
      </w:r>
      <w:r w:rsidRPr="00660C4E">
        <w:rPr>
          <w:rFonts w:ascii="Times New Roman" w:hAnsi="Times New Roman" w:cs="Times New Roman"/>
          <w:i/>
          <w:iCs/>
          <w:sz w:val="24"/>
        </w:rPr>
        <w:t>in vivo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>wykazano, że ekspresja genu i/lub białka PROK1 i jej receptora PROKR1 była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stymulowana poprzez E2 oraz przez </w:t>
      </w:r>
      <w:proofErr w:type="spellStart"/>
      <w:r w:rsidRPr="00660C4E">
        <w:rPr>
          <w:rFonts w:ascii="Times New Roman" w:hAnsi="Times New Roman" w:cs="Times New Roman"/>
          <w:sz w:val="24"/>
        </w:rPr>
        <w:t>prostaglandynę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E2 (PGE2), wydzielaną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>przez zarodki oraz endometrium podczas wczesnej ciąży. Następnie zbadano czy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C4E">
        <w:rPr>
          <w:rFonts w:ascii="Times New Roman" w:hAnsi="Times New Roman" w:cs="Times New Roman"/>
          <w:sz w:val="24"/>
        </w:rPr>
        <w:t>prostaglandyna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F2α (PGF2α), która inicjuje proces </w:t>
      </w:r>
      <w:proofErr w:type="spellStart"/>
      <w:r w:rsidRPr="00660C4E">
        <w:rPr>
          <w:rFonts w:ascii="Times New Roman" w:hAnsi="Times New Roman" w:cs="Times New Roman"/>
          <w:sz w:val="24"/>
        </w:rPr>
        <w:t>luteolizy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, może regulować ekspresję PROK1 i jej receptorów w CL. Uzyskane wyniki pozwoliły stwierdzić, że PGF2α zwiększyła ekspresję genu </w:t>
      </w:r>
      <w:r w:rsidRPr="003D670F">
        <w:rPr>
          <w:rFonts w:ascii="Times New Roman" w:hAnsi="Times New Roman" w:cs="Times New Roman"/>
          <w:i/>
          <w:iCs/>
          <w:sz w:val="24"/>
        </w:rPr>
        <w:t>PROK1</w:t>
      </w:r>
      <w:r w:rsidRPr="00660C4E">
        <w:rPr>
          <w:rFonts w:ascii="Times New Roman" w:hAnsi="Times New Roman" w:cs="Times New Roman"/>
          <w:sz w:val="24"/>
        </w:rPr>
        <w:t xml:space="preserve"> w 12. dniu cyklu </w:t>
      </w:r>
      <w:proofErr w:type="spellStart"/>
      <w:r w:rsidRPr="00660C4E">
        <w:rPr>
          <w:rFonts w:ascii="Times New Roman" w:hAnsi="Times New Roman" w:cs="Times New Roman"/>
          <w:sz w:val="24"/>
        </w:rPr>
        <w:t>rujowego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. Następnie zbadano wpływ PROK1 na procesy związane z funkcją CL. Wykorzystując model </w:t>
      </w:r>
      <w:r w:rsidRPr="003D670F">
        <w:rPr>
          <w:rFonts w:ascii="Times New Roman" w:hAnsi="Times New Roman" w:cs="Times New Roman"/>
          <w:i/>
          <w:iCs/>
          <w:sz w:val="24"/>
        </w:rPr>
        <w:t>in vitro</w:t>
      </w:r>
      <w:r w:rsidRPr="00660C4E">
        <w:rPr>
          <w:rFonts w:ascii="Times New Roman" w:hAnsi="Times New Roman" w:cs="Times New Roman"/>
          <w:sz w:val="24"/>
        </w:rPr>
        <w:t xml:space="preserve">, wykazano, że PROK1 reguluje syntezę i wydzielanie progesteronu przez CL. Ponadto, stymuluje ona proces tworzenia się naczyń krwionośnych w CL oraz zwiększa żywotność oraz redukuje apoptozę komórek </w:t>
      </w:r>
      <w:proofErr w:type="spellStart"/>
      <w:r w:rsidRPr="00660C4E">
        <w:rPr>
          <w:rFonts w:ascii="Times New Roman" w:hAnsi="Times New Roman" w:cs="Times New Roman"/>
          <w:sz w:val="24"/>
        </w:rPr>
        <w:t>lutealnych</w:t>
      </w:r>
      <w:proofErr w:type="spellEnd"/>
      <w:r w:rsidRPr="00660C4E">
        <w:rPr>
          <w:rFonts w:ascii="Times New Roman" w:hAnsi="Times New Roman" w:cs="Times New Roman"/>
          <w:sz w:val="24"/>
        </w:rPr>
        <w:t>.</w:t>
      </w:r>
    </w:p>
    <w:p w14:paraId="6D791538" w14:textId="4999CBC7" w:rsidR="00012C6B" w:rsidRPr="00262C9A" w:rsidRDefault="00660C4E" w:rsidP="003D670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0C4E">
        <w:rPr>
          <w:rFonts w:ascii="Times New Roman" w:hAnsi="Times New Roman" w:cs="Times New Roman"/>
          <w:sz w:val="24"/>
        </w:rPr>
        <w:t xml:space="preserve">Uzyskane wyniki pozwalają stwierdzić, że PROK1 jest istotnym regulatorem funkcji ciałka żółtego. Jej produkcja wzrasta w CL w trakcie procesu matczynego rozpoznania ciąży, podczas którego dochodzi do zahamowania </w:t>
      </w:r>
      <w:proofErr w:type="spellStart"/>
      <w:r w:rsidRPr="00660C4E">
        <w:rPr>
          <w:rFonts w:ascii="Times New Roman" w:hAnsi="Times New Roman" w:cs="Times New Roman"/>
          <w:sz w:val="24"/>
        </w:rPr>
        <w:t>luteolizy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, a ekspresja PROK1 i PROKR1 regulowana jest przez sygnał zarodkowy (E2) oraz PGE2. </w:t>
      </w:r>
      <w:proofErr w:type="spellStart"/>
      <w:r w:rsidRPr="00660C4E">
        <w:rPr>
          <w:rFonts w:ascii="Times New Roman" w:hAnsi="Times New Roman" w:cs="Times New Roman"/>
          <w:sz w:val="24"/>
        </w:rPr>
        <w:t>Prokinetycyna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1 jest również ważnym czynnikiem zaangażowanym w kontrolowanie funkcji wydzielniczej ciałka żółtego poprzez wspieranie procesu </w:t>
      </w:r>
      <w:proofErr w:type="spellStart"/>
      <w:r w:rsidRPr="00660C4E">
        <w:rPr>
          <w:rFonts w:ascii="Times New Roman" w:hAnsi="Times New Roman" w:cs="Times New Roman"/>
          <w:sz w:val="24"/>
        </w:rPr>
        <w:t>steroidogenezy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i tworzenia się naczyń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 xml:space="preserve">krwionośnych, a także hamując apoptozę komórek </w:t>
      </w:r>
      <w:proofErr w:type="spellStart"/>
      <w:r w:rsidRPr="00660C4E">
        <w:rPr>
          <w:rFonts w:ascii="Times New Roman" w:hAnsi="Times New Roman" w:cs="Times New Roman"/>
          <w:sz w:val="24"/>
        </w:rPr>
        <w:t>lutealnych</w:t>
      </w:r>
      <w:proofErr w:type="spellEnd"/>
      <w:r w:rsidRPr="00660C4E">
        <w:rPr>
          <w:rFonts w:ascii="Times New Roman" w:hAnsi="Times New Roman" w:cs="Times New Roman"/>
          <w:sz w:val="24"/>
        </w:rPr>
        <w:t xml:space="preserve"> i zwiększając żywotność komórek w CL. Procesy te są kluczowe dla rozwoju ciąży u świni domowej. Wyniki przeprowadzonych badań pogłębiają wiedzę z zakresu biologii rozrodu i w przyszłości mogą przyczynić się do opracowania nowych technik ograniczających śmiertelności zarodków w newralgicznym okresie ciąży, jakim jest matczyne rozpoznanie ciąży, zagnieżdżenie zarodków oraz</w:t>
      </w:r>
      <w:r>
        <w:rPr>
          <w:rFonts w:ascii="Times New Roman" w:hAnsi="Times New Roman" w:cs="Times New Roman"/>
          <w:sz w:val="24"/>
        </w:rPr>
        <w:t xml:space="preserve"> </w:t>
      </w:r>
      <w:r w:rsidRPr="00660C4E">
        <w:rPr>
          <w:rFonts w:ascii="Times New Roman" w:hAnsi="Times New Roman" w:cs="Times New Roman"/>
          <w:sz w:val="24"/>
        </w:rPr>
        <w:t>rozwój łożyska</w:t>
      </w:r>
      <w:r w:rsidR="003D670F">
        <w:rPr>
          <w:rFonts w:ascii="Times New Roman" w:hAnsi="Times New Roman" w:cs="Times New Roman"/>
          <w:sz w:val="24"/>
        </w:rPr>
        <w:t>.</w:t>
      </w:r>
    </w:p>
    <w:sectPr w:rsidR="00012C6B" w:rsidRPr="00262C9A" w:rsidSect="00455578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90426"/>
    <w:multiLevelType w:val="multilevel"/>
    <w:tmpl w:val="D0E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17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C7"/>
    <w:rsid w:val="00012C6B"/>
    <w:rsid w:val="000B04B3"/>
    <w:rsid w:val="00153F83"/>
    <w:rsid w:val="00194488"/>
    <w:rsid w:val="001D52F9"/>
    <w:rsid w:val="00262C9A"/>
    <w:rsid w:val="002A1682"/>
    <w:rsid w:val="00302CF0"/>
    <w:rsid w:val="003B5B03"/>
    <w:rsid w:val="003D670F"/>
    <w:rsid w:val="004319C7"/>
    <w:rsid w:val="00455578"/>
    <w:rsid w:val="00660C4E"/>
    <w:rsid w:val="00681420"/>
    <w:rsid w:val="0077576B"/>
    <w:rsid w:val="00832524"/>
    <w:rsid w:val="00893E1D"/>
    <w:rsid w:val="00A25F4B"/>
    <w:rsid w:val="00A87A9D"/>
    <w:rsid w:val="00BB1F6A"/>
    <w:rsid w:val="00E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2D0"/>
  <w15:chartTrackingRefBased/>
  <w15:docId w15:val="{3F3785E8-A2F3-4BD7-B22E-E37BAA8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6555F"/>
    <w:rPr>
      <w:i/>
      <w:iCs/>
    </w:rPr>
  </w:style>
  <w:style w:type="character" w:styleId="Pogrubienie">
    <w:name w:val="Strong"/>
    <w:basedOn w:val="Domylnaczcionkaakapitu"/>
    <w:uiPriority w:val="22"/>
    <w:qFormat/>
    <w:rsid w:val="00E655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Monika Baryla</cp:lastModifiedBy>
  <cp:revision>4</cp:revision>
  <dcterms:created xsi:type="dcterms:W3CDTF">2025-03-21T17:35:00Z</dcterms:created>
  <dcterms:modified xsi:type="dcterms:W3CDTF">2025-04-13T11:37:00Z</dcterms:modified>
</cp:coreProperties>
</file>